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201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年省院省校教育合作人文社会科学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研究项目课题申报指南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1.云南打造世界一流绿色能源牌研究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2.云南发展数字经济研究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3.云南推进区块链发展研究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4.提升云南产业链水平研究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5.推进云南康养小镇加快发展研究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6.云南推进宅基地流转对策研究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7.云南培育重点产业的主要举措研究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8.云南省新材料制造业研究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9.推进人民币在云南周边国家跨境使用研究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10.云南智慧城市建设的路径和对策研究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11.云南公共基础设施PPP规范发展对策研究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12.云南深度贫困地区稳定脱贫面临的难点及政策研究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13.云南临界贫困人口支持政策研究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14.云南摘帽贫困县的后续发展机制研究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15.云南边境民族地区艾滋病感染者生存质量调查及干预对策研究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16.深入推进民族团结进步示范区建设政策研究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17.“一带一路”背景下下云南少数民族特色文化知识产权保护现状与对策研究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18.乡村振兴战略下云南少数民族传统村落的保护与发展研究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19.精准扶贫背景下云南直过民族的文化传承与保护研究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20.云南少数民族地区中小学英语师资队伍现状及对策研究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21.新时代云南省高等教育中外合作办学发展研究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22.边疆民族地区教育精准扶贫长效机制研究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23.云南少数民族基础教育发展研究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24.云南“直过民族”儿童国家通用语言文字学习情况现状及对策研究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25.云南学校劳动教育现状及对策研究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26.推进云南中小学人工智能教育路径研究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27.云南省地方院校本科体育教育专业认证研究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28.“一带一路”背景下高职物流人才培养模式创新研究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29.云南省地方院校创新创业探索与实践研究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30.云南民办高职院校转型发展研究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31.推进澜湄国家民心相通的对策研究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32.云南参与中缅经济走廊建设研究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33.缅北冲突新态势对云南边境安全的影响及对策研究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34.“中国-中南半岛经济走廊”投资风险研究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35.构建澜沧江——湄公河国际反恐合作机制研究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36.推进“一带一路”与越南“两廊一圈”对接及云南参与研究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37.中国-老挝社会主义国家命运共同体构建研究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38.提高云南对外援助的质量和效益研究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39.云南主流媒体国际传播能力建设研究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40.新时代云南多宗教和谐并存发展研究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BE3"/>
    <w:rsid w:val="00362BE3"/>
    <w:rsid w:val="00392FBD"/>
    <w:rsid w:val="00423717"/>
    <w:rsid w:val="004339D9"/>
    <w:rsid w:val="00445726"/>
    <w:rsid w:val="0060001F"/>
    <w:rsid w:val="0085506B"/>
    <w:rsid w:val="00A84285"/>
    <w:rsid w:val="00E16854"/>
    <w:rsid w:val="00E67737"/>
    <w:rsid w:val="00F25F86"/>
    <w:rsid w:val="379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2018-01-04T06:51:00Z</dcterms:created>
  <dc:creator>用户校院合作处</dc:creator>
  <cp:lastModifiedBy>用户校院合作处</cp:lastModifiedBy>
  <dcterms:modified xsi:type="dcterms:W3CDTF">2019-01-24T02:37:26Z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